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color w:val="000000"/>
              </w:rPr>
            </w:pPr>
            <w:r>
              <w:rPr>
                <w:color w:val="000000"/>
              </w:rPr>
              <w:t> </w:t>
            </w:r>
          </w:p>
        </w:tc>
      </w:tr>
    </w:tbl>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color w:val="000000"/>
              </w:rPr>
            </w:pPr>
            <w:r>
              <w:rPr>
                <w:color w:val="000000"/>
              </w:rPr>
              <w:t> </w:t>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10,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color w:val="000000"/>
              </w:rPr>
            </w:pPr>
            <w:r>
              <w:rPr>
                <w:color w:val="000000"/>
              </w:rPr>
              <w:t> </w:t>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Remitly Global, Inc.</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color w:val="000000"/>
              </w:rPr>
            </w:pPr>
            <w:r>
              <w:rPr>
                <w:color w:val="000000"/>
              </w:rPr>
              <w:t> </w:t>
            </w:r>
          </w:p>
        </w:tc>
      </w:tr>
    </w:tbl>
    <w:tbl>
      <w:tblPr>
        <w:tblW w:w="4754" w:type="dxa"/>
        <w:jc w:val="left"/>
        <w:tblInd w:w="0" w:type="dxa"/>
        <w:tblLayout w:type="fixed"/>
        <w:tblCellMar>
          <w:top w:w="28" w:type="dxa"/>
          <w:left w:w="28" w:type="dxa"/>
          <w:bottom w:w="28" w:type="dxa"/>
          <w:right w:w="28" w:type="dxa"/>
        </w:tblCellMar>
      </w:tblPr>
      <w:tblGrid>
        <w:gridCol w:w="618"/>
        <w:gridCol w:w="543"/>
        <w:gridCol w:w="549"/>
        <w:gridCol w:w="592"/>
        <w:gridCol w:w="592"/>
        <w:gridCol w:w="600"/>
        <w:gridCol w:w="368"/>
        <w:gridCol w:w="368"/>
        <w:gridCol w:w="52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Delaware</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001-40822</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83-2301143</w:t>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(State or other jurisdiction</w:t>
            </w:r>
          </w:p>
          <w:p>
            <w:pPr>
              <w:pStyle w:val="TableContents"/>
              <w:bidi w:val="0"/>
              <w:spacing w:lineRule="auto" w:line="288" w:before="0" w:after="180"/>
              <w:jc w:val="center"/>
              <w:rPr>
                <w:rFonts w:ascii="Times New Roman;serif" w:hAnsi="Times New Roman;serif"/>
                <w:b w:val="false"/>
                <w:color w:val="000000"/>
                <w:sz w:val="15"/>
              </w:rPr>
            </w:pPr>
            <w:r>
              <w:rPr>
                <w:rFonts w:ascii="Times New Roman;serif" w:hAnsi="Times New Roman;serif"/>
                <w:b w:val="false"/>
                <w:color w:val="000000"/>
                <w:sz w:val="15"/>
              </w:rPr>
              <w:t>of incorporation)</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(Commission File Number)</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(IRS Employer</w:t>
            </w:r>
          </w:p>
          <w:p>
            <w:pPr>
              <w:pStyle w:val="TableContents"/>
              <w:bidi w:val="0"/>
              <w:spacing w:lineRule="auto" w:line="288" w:before="0" w:after="180"/>
              <w:jc w:val="center"/>
              <w:rPr>
                <w:rFonts w:ascii="Times New Roman;serif" w:hAnsi="Times New Roman;serif"/>
                <w:b w:val="false"/>
                <w:color w:val="000000"/>
                <w:sz w:val="15"/>
              </w:rPr>
            </w:pPr>
            <w:r>
              <w:rPr>
                <w:rFonts w:ascii="Times New Roman;serif" w:hAnsi="Times New Roman;serif"/>
                <w:b w:val="false"/>
                <w:color w:val="000000"/>
                <w:sz w:val="15"/>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401 Union Street, Suite 1000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Seattle, WA 98101</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(888) 736-4859</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color w:val="000000"/>
              </w:rPr>
            </w:pPr>
            <w:r>
              <w:rPr>
                <w:color w:val="000000"/>
              </w:rPr>
              <w:t> </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976" w:type="dxa"/>
        <w:jc w:val="left"/>
        <w:tblInd w:w="0" w:type="dxa"/>
        <w:tblLayout w:type="fixed"/>
        <w:tblCellMar>
          <w:top w:w="28" w:type="dxa"/>
          <w:left w:w="28" w:type="dxa"/>
          <w:bottom w:w="28" w:type="dxa"/>
          <w:right w:w="28" w:type="dxa"/>
        </w:tblCellMar>
      </w:tblPr>
      <w:tblGrid>
        <w:gridCol w:w="1187"/>
        <w:gridCol w:w="1045"/>
        <w:gridCol w:w="1052"/>
        <w:gridCol w:w="109"/>
        <w:gridCol w:w="109"/>
        <w:gridCol w:w="109"/>
        <w:gridCol w:w="519"/>
        <w:gridCol w:w="519"/>
        <w:gridCol w:w="521"/>
        <w:gridCol w:w="109"/>
        <w:gridCol w:w="109"/>
        <w:gridCol w:w="109"/>
        <w:gridCol w:w="1019"/>
        <w:gridCol w:w="1019"/>
        <w:gridCol w:w="1441"/>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RELY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80"/>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10, 2026, Remitly Global, Inc. (the “Company”) held its 2026 Annual Meeting of Stockholders (the “Annual Meeting”), at which a quorum was present. At the Annual Meeting, the stockholders of the Company voted on the following three proposals: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Proposal 1 — Election of Directors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nominees were elected to the Company’s Board of Directors to hold office for terms to expire upon the annual stockholders’ meeting to be held in 2029 or until their successors are elected and qualified, or until their earlier death, resignation, or removal. The votes cast at the Annual Meeting were as follows:</w:t>
      </w:r>
    </w:p>
    <w:tbl>
      <w:tblPr>
        <w:tblW w:w="6323" w:type="dxa"/>
        <w:jc w:val="left"/>
        <w:tblInd w:w="0" w:type="dxa"/>
        <w:tblLayout w:type="fixed"/>
        <w:tblCellMar>
          <w:top w:w="28" w:type="dxa"/>
          <w:left w:w="28" w:type="dxa"/>
          <w:bottom w:w="28" w:type="dxa"/>
          <w:right w:w="28" w:type="dxa"/>
        </w:tblCellMar>
      </w:tblPr>
      <w:tblGrid>
        <w:gridCol w:w="537"/>
        <w:gridCol w:w="473"/>
        <w:gridCol w:w="475"/>
        <w:gridCol w:w="109"/>
        <w:gridCol w:w="109"/>
        <w:gridCol w:w="109"/>
        <w:gridCol w:w="379"/>
        <w:gridCol w:w="379"/>
        <w:gridCol w:w="383"/>
        <w:gridCol w:w="109"/>
        <w:gridCol w:w="109"/>
        <w:gridCol w:w="109"/>
        <w:gridCol w:w="343"/>
        <w:gridCol w:w="343"/>
        <w:gridCol w:w="350"/>
        <w:gridCol w:w="109"/>
        <w:gridCol w:w="109"/>
        <w:gridCol w:w="109"/>
        <w:gridCol w:w="492"/>
        <w:gridCol w:w="492"/>
        <w:gridCol w:w="696"/>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Bora Chung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134,764,920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5,577,162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20,525,045</w:t>
            </w:r>
          </w:p>
        </w:tc>
      </w:tr>
      <w:tr>
        <w:trPr/>
        <w:tc>
          <w:tcPr>
            <w:tcW w:w="14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Laurent Le Moal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135,211,923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5,130,159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20,525,045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Nigel Morris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96,695,642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43,646,440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20,525,045</w:t>
            </w:r>
          </w:p>
        </w:tc>
      </w:tr>
    </w:tbl>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Proposal 2 — Advisory Vote to Approve Executive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stockholders approved, on an advisory basis, the compensation of the Company's named executive officers. </w:t>
      </w:r>
    </w:p>
    <w:tbl>
      <w:tblPr>
        <w:tblW w:w="5499"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250"/>
        <w:gridCol w:w="250"/>
        <w:gridCol w:w="25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135,017,111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5,226,478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98,493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20,525,045</w:t>
            </w:r>
          </w:p>
        </w:tc>
      </w:tr>
    </w:tbl>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Proposal 3 — Ratification of Appointment of Independent Registered Public Accounting Firm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proposal to ratify the appointment of PricewaterhouseCoopers LLP as the Company’s independent registered public accounting firm for the fiscal year ending December 31, 2026, was approved based upon the following votes:</w:t>
      </w:r>
    </w:p>
    <w:tbl>
      <w:tblPr>
        <w:tblW w:w="3567"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241"/>
        <w:gridCol w:w="241"/>
        <w:gridCol w:w="344"/>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153,679,087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7,056,245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131,795</w:t>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391" w:type="dxa"/>
        <w:jc w:val="left"/>
        <w:tblInd w:w="0" w:type="dxa"/>
        <w:tblLayout w:type="fixed"/>
        <w:tblCellMar>
          <w:top w:w="28" w:type="dxa"/>
          <w:left w:w="28" w:type="dxa"/>
          <w:bottom w:w="28" w:type="dxa"/>
          <w:right w:w="28" w:type="dxa"/>
        </w:tblCellMar>
      </w:tblPr>
      <w:tblGrid>
        <w:gridCol w:w="629"/>
        <w:gridCol w:w="554"/>
        <w:gridCol w:w="557"/>
        <w:gridCol w:w="279"/>
        <w:gridCol w:w="279"/>
        <w:gridCol w:w="279"/>
        <w:gridCol w:w="1400"/>
        <w:gridCol w:w="1400"/>
        <w:gridCol w:w="201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Remitly Global,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June 11, 2026</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Cameron Cohen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Cameron Cohen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573</Words>
  <Characters>3238</Characters>
  <CharactersWithSpaces>3738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